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1600"/>
      </w:pPr>
      <w:r>
        <w:rPr>
          <w:rFonts w:ascii="Arial" w:cs="Arial" w:eastAsia="Arial" w:hAnsi="Arial"/>
          <w:b/>
          <w:bCs/>
          <w:color w:val="595959"/>
          <w:sz w:val="24"/>
          <w:szCs w:val="24"/>
        </w:rPr>
        <w:t xml:space="preserve">MDBUDDY UK LIMITED</w:t>
      </w:r>
    </w:p>
    <w:p>
      <w:pPr>
        <w:spacing w:after="600"/>
      </w:pPr>
      <w:r>
        <w:rPr>
          <w:rFonts w:ascii="Arial" w:cs="Arial" w:eastAsia="Arial" w:hAnsi="Arial"/>
          <w:b/>
          <w:bCs/>
          <w:color w:val="0061FF"/>
          <w:sz w:val="56"/>
          <w:szCs w:val="56"/>
        </w:rPr>
        <w:t xml:space="preserve">Fluoride Varnish Programme Policy</w:t>
      </w:r>
    </w:p>
    <w:p>
      <w:pPr>
        <w:spacing w:after="800"/>
      </w:pPr>
      <w:r>
        <w:rPr>
          <w:rFonts w:ascii="Arial" w:cs="Arial" w:eastAsia="Arial" w:hAnsi="Arial"/>
          <w:color w:val="595959"/>
          <w:sz w:val="24"/>
          <w:szCs w:val="24"/>
        </w:rPr>
        <w:t xml:space="preserve">CL-08 | v2.0 | Internal</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Document title</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Fluoride Varnish Programme Policy</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Document number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CL-08</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Version</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v2.0</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Classification</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Internal</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Owner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Dr Ramzan Mohammed, Clinical Director</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Approver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Dr Ramzan Mohammed, CEO</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Review cycle</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Annual</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Date of effect</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2026</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Date of amendment</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2026</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Next review</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2027</w:t>
            </w:r>
          </w:p>
        </w:tc>
      </w:tr>
    </w:tbl>
    <w:p>
      <w:pPr>
        <w:pageBreakBefore/>
      </w:pPr>
    </w:p>
    <w:p>
      <w:pPr>
        <w:spacing w:after="140" w:before="280" w:line="276"/>
      </w:pPr>
      <w:r>
        <w:rPr>
          <w:rFonts w:ascii="Arial" w:cs="Arial" w:eastAsia="Arial" w:hAnsi="Arial"/>
          <w:b/>
          <w:bCs/>
          <w:color w:val="0061FF"/>
          <w:sz w:val="28"/>
          <w:szCs w:val="28"/>
        </w:rPr>
        <w:t xml:space="preserve">Contents</w:t>
      </w:r>
    </w:p>
    <w:p>
      <w:pPr>
        <w:spacing w:after="60" w:line="252"/>
      </w:pPr>
      <w:r>
        <w:rPr>
          <w:rFonts w:ascii="Arial" w:cs="Arial" w:eastAsia="Arial" w:hAnsi="Arial"/>
          <w:sz w:val="20"/>
          <w:szCs w:val="20"/>
        </w:rPr>
        <w:t xml:space="preserve">1. Overview and Purpose</w:t>
      </w:r>
    </w:p>
    <w:p>
      <w:pPr>
        <w:spacing w:after="60" w:line="252"/>
      </w:pPr>
      <w:r>
        <w:rPr>
          <w:rFonts w:ascii="Arial" w:cs="Arial" w:eastAsia="Arial" w:hAnsi="Arial"/>
          <w:sz w:val="20"/>
          <w:szCs w:val="20"/>
        </w:rPr>
        <w:t xml:space="preserve">2. Scope and Associated Documents</w:t>
      </w:r>
    </w:p>
    <w:p>
      <w:pPr>
        <w:spacing w:after="60" w:line="252"/>
      </w:pPr>
      <w:r>
        <w:rPr>
          <w:rFonts w:ascii="Arial" w:cs="Arial" w:eastAsia="Arial" w:hAnsi="Arial"/>
          <w:sz w:val="20"/>
          <w:szCs w:val="20"/>
        </w:rPr>
        <w:t xml:space="preserve">3. Definitions and Abbreviations</w:t>
      </w:r>
    </w:p>
    <w:p>
      <w:pPr>
        <w:spacing w:after="60" w:line="252"/>
      </w:pPr>
      <w:r>
        <w:rPr>
          <w:rFonts w:ascii="Arial" w:cs="Arial" w:eastAsia="Arial" w:hAnsi="Arial"/>
          <w:sz w:val="20"/>
          <w:szCs w:val="20"/>
        </w:rPr>
        <w:t xml:space="preserve">4. Legal and Regulatory Framework</w:t>
      </w:r>
    </w:p>
    <w:p>
      <w:pPr>
        <w:spacing w:after="60" w:line="252"/>
      </w:pPr>
      <w:r>
        <w:rPr>
          <w:rFonts w:ascii="Arial" w:cs="Arial" w:eastAsia="Arial" w:hAnsi="Arial"/>
          <w:sz w:val="20"/>
          <w:szCs w:val="20"/>
        </w:rPr>
        <w:t xml:space="preserve">5. Policy Statements</w:t>
      </w:r>
    </w:p>
    <w:p>
      <w:pPr>
        <w:spacing w:after="60" w:line="252"/>
        <w:ind w:left="480"/>
      </w:pPr>
      <w:r>
        <w:rPr>
          <w:rFonts w:ascii="Arial" w:cs="Arial" w:eastAsia="Arial" w:hAnsi="Arial"/>
          <w:sz w:val="20"/>
          <w:szCs w:val="20"/>
        </w:rPr>
        <w:t xml:space="preserve">5.1 Clinical Accountability and Who Applies the Varnish</w:t>
      </w:r>
    </w:p>
    <w:p>
      <w:pPr>
        <w:spacing w:after="60" w:line="252"/>
        <w:ind w:left="480"/>
      </w:pPr>
      <w:r>
        <w:rPr>
          <w:rFonts w:ascii="Arial" w:cs="Arial" w:eastAsia="Arial" w:hAnsi="Arial"/>
          <w:sz w:val="20"/>
          <w:szCs w:val="20"/>
        </w:rPr>
        <w:t xml:space="preserve">5.2 The Clinical Standard</w:t>
      </w:r>
    </w:p>
    <w:p>
      <w:pPr>
        <w:spacing w:after="60" w:line="252"/>
        <w:ind w:left="480"/>
      </w:pPr>
      <w:r>
        <w:rPr>
          <w:rFonts w:ascii="Arial" w:cs="Arial" w:eastAsia="Arial" w:hAnsi="Arial"/>
          <w:sz w:val="20"/>
          <w:szCs w:val="20"/>
        </w:rPr>
        <w:t xml:space="preserve">5.3 Consent</w:t>
      </w:r>
    </w:p>
    <w:p>
      <w:pPr>
        <w:spacing w:after="60" w:line="252"/>
        <w:ind w:left="480"/>
      </w:pPr>
      <w:r>
        <w:rPr>
          <w:rFonts w:ascii="Arial" w:cs="Arial" w:eastAsia="Arial" w:hAnsi="Arial"/>
          <w:sz w:val="20"/>
          <w:szCs w:val="20"/>
        </w:rPr>
        <w:t xml:space="preserve">5.4 Contraindication and Safety Screening</w:t>
      </w:r>
    </w:p>
    <w:p>
      <w:pPr>
        <w:spacing w:after="60" w:line="252"/>
        <w:ind w:left="480"/>
      </w:pPr>
      <w:r>
        <w:rPr>
          <w:rFonts w:ascii="Arial" w:cs="Arial" w:eastAsia="Arial" w:hAnsi="Arial"/>
          <w:sz w:val="20"/>
          <w:szCs w:val="20"/>
        </w:rPr>
        <w:t xml:space="preserve">5.5 Application Procedure</w:t>
      </w:r>
    </w:p>
    <w:p>
      <w:pPr>
        <w:spacing w:after="60" w:line="252"/>
        <w:ind w:left="480"/>
      </w:pPr>
      <w:r>
        <w:rPr>
          <w:rFonts w:ascii="Arial" w:cs="Arial" w:eastAsia="Arial" w:hAnsi="Arial"/>
          <w:sz w:val="20"/>
          <w:szCs w:val="20"/>
        </w:rPr>
        <w:t xml:space="preserve">5.6 Adverse Reaction Response</w:t>
      </w:r>
    </w:p>
    <w:p>
      <w:pPr>
        <w:spacing w:after="60" w:line="252"/>
        <w:ind w:left="480"/>
      </w:pPr>
      <w:r>
        <w:rPr>
          <w:rFonts w:ascii="Arial" w:cs="Arial" w:eastAsia="Arial" w:hAnsi="Arial"/>
          <w:sz w:val="20"/>
          <w:szCs w:val="20"/>
        </w:rPr>
        <w:t xml:space="preserve">5.7 The Consent Form and the Data It Collects</w:t>
      </w:r>
    </w:p>
    <w:p>
      <w:pPr>
        <w:spacing w:after="60" w:line="252"/>
        <w:ind w:left="480"/>
      </w:pPr>
      <w:r>
        <w:rPr>
          <w:rFonts w:ascii="Arial" w:cs="Arial" w:eastAsia="Arial" w:hAnsi="Arial"/>
          <w:sz w:val="20"/>
          <w:szCs w:val="20"/>
        </w:rPr>
        <w:t xml:space="preserve">5.8 Lawful Basis for the Data</w:t>
      </w:r>
    </w:p>
    <w:p>
      <w:pPr>
        <w:spacing w:after="60" w:line="252"/>
        <w:ind w:left="480"/>
      </w:pPr>
      <w:r>
        <w:rPr>
          <w:rFonts w:ascii="Arial" w:cs="Arial" w:eastAsia="Arial" w:hAnsi="Arial"/>
          <w:sz w:val="20"/>
          <w:szCs w:val="20"/>
        </w:rPr>
        <w:t xml:space="preserve">5.9 The Consent-Form Lifecycle</w:t>
      </w:r>
    </w:p>
    <w:p>
      <w:pPr>
        <w:spacing w:after="60" w:line="252"/>
        <w:ind w:left="480"/>
      </w:pPr>
      <w:r>
        <w:rPr>
          <w:rFonts w:ascii="Arial" w:cs="Arial" w:eastAsia="Arial" w:hAnsi="Arial"/>
          <w:sz w:val="20"/>
          <w:szCs w:val="20"/>
        </w:rPr>
        <w:t xml:space="preserve">5.10 Data Controller Position and Data Sharing with Settings</w:t>
      </w:r>
    </w:p>
    <w:p>
      <w:pPr>
        <w:spacing w:after="60" w:line="252"/>
      </w:pPr>
      <w:r>
        <w:rPr>
          <w:rFonts w:ascii="Arial" w:cs="Arial" w:eastAsia="Arial" w:hAnsi="Arial"/>
          <w:sz w:val="20"/>
          <w:szCs w:val="20"/>
        </w:rPr>
        <w:t xml:space="preserve">6. Roles and Responsibilities</w:t>
      </w:r>
    </w:p>
    <w:p>
      <w:pPr>
        <w:spacing w:after="60" w:line="252"/>
      </w:pPr>
      <w:r>
        <w:rPr>
          <w:rFonts w:ascii="Arial" w:cs="Arial" w:eastAsia="Arial" w:hAnsi="Arial"/>
          <w:sz w:val="20"/>
          <w:szCs w:val="20"/>
        </w:rPr>
        <w:t xml:space="preserve">7. Procedure</w:t>
      </w:r>
    </w:p>
    <w:p>
      <w:pPr>
        <w:spacing w:after="60" w:line="252"/>
      </w:pPr>
      <w:r>
        <w:rPr>
          <w:rFonts w:ascii="Arial" w:cs="Arial" w:eastAsia="Arial" w:hAnsi="Arial"/>
          <w:sz w:val="20"/>
          <w:szCs w:val="20"/>
        </w:rPr>
        <w:t xml:space="preserve">8. Training and Competency</w:t>
      </w:r>
    </w:p>
    <w:p>
      <w:pPr>
        <w:spacing w:after="60" w:line="252"/>
      </w:pPr>
      <w:r>
        <w:rPr>
          <w:rFonts w:ascii="Arial" w:cs="Arial" w:eastAsia="Arial" w:hAnsi="Arial"/>
          <w:sz w:val="20"/>
          <w:szCs w:val="20"/>
        </w:rPr>
        <w:t xml:space="preserve">9. Monitoring, Review and Assurance</w:t>
      </w:r>
    </w:p>
    <w:p>
      <w:pPr>
        <w:spacing w:after="60" w:line="252"/>
      </w:pPr>
      <w:r>
        <w:rPr>
          <w:rFonts w:ascii="Arial" w:cs="Arial" w:eastAsia="Arial" w:hAnsi="Arial"/>
          <w:sz w:val="20"/>
          <w:szCs w:val="20"/>
        </w:rPr>
        <w:t xml:space="preserve">10. Related Documents</w:t>
      </w:r>
    </w:p>
    <w:p>
      <w:pPr>
        <w:spacing w:after="60" w:line="252"/>
      </w:pPr>
      <w:r>
        <w:rPr>
          <w:rFonts w:ascii="Arial" w:cs="Arial" w:eastAsia="Arial" w:hAnsi="Arial"/>
          <w:sz w:val="20"/>
          <w:szCs w:val="20"/>
        </w:rPr>
        <w:t xml:space="preserve">11. References</w:t>
      </w:r>
    </w:p>
    <w:p>
      <w:pPr>
        <w:spacing w:after="60" w:line="252"/>
      </w:pPr>
      <w:r>
        <w:rPr>
          <w:rFonts w:ascii="Arial" w:cs="Arial" w:eastAsia="Arial" w:hAnsi="Arial"/>
          <w:sz w:val="20"/>
          <w:szCs w:val="20"/>
        </w:rPr>
        <w:t xml:space="preserve">12. Document Control Information</w:t>
      </w:r>
    </w:p>
    <w:p>
      <w:pPr>
        <w:spacing w:after="60" w:line="252"/>
      </w:pPr>
      <w:r>
        <w:rPr>
          <w:rFonts w:ascii="Arial" w:cs="Arial" w:eastAsia="Arial" w:hAnsi="Arial"/>
          <w:sz w:val="20"/>
          <w:szCs w:val="20"/>
        </w:rPr>
        <w:t xml:space="preserve">13. Equality Impact Assessment</w:t>
      </w:r>
    </w:p>
    <w:p>
      <w:pPr>
        <w:spacing w:after="60" w:line="252"/>
      </w:pPr>
      <w:r>
        <w:rPr>
          <w:rFonts w:ascii="Arial" w:cs="Arial" w:eastAsia="Arial" w:hAnsi="Arial"/>
          <w:sz w:val="20"/>
          <w:szCs w:val="20"/>
        </w:rPr>
        <w:t xml:space="preserve">14. Appendices</w:t>
      </w:r>
    </w:p>
    <w:p>
      <w:pPr>
        <w:spacing w:after="60" w:line="252"/>
        <w:ind w:left="480"/>
      </w:pPr>
      <w:r>
        <w:rPr>
          <w:rFonts w:ascii="Arial" w:cs="Arial" w:eastAsia="Arial" w:hAnsi="Arial"/>
          <w:sz w:val="20"/>
          <w:szCs w:val="20"/>
        </w:rPr>
        <w:t xml:space="preserve">Appendix A. Consent Form Data Fields and Justification</w:t>
      </w:r>
    </w:p>
    <w:p>
      <w:pPr>
        <w:spacing w:after="60" w:line="252"/>
        <w:ind w:left="480"/>
      </w:pPr>
      <w:r>
        <w:rPr>
          <w:rFonts w:ascii="Arial" w:cs="Arial" w:eastAsia="Arial" w:hAnsi="Arial"/>
          <w:sz w:val="20"/>
          <w:szCs w:val="20"/>
        </w:rPr>
        <w:t xml:space="preserve">Appendix B. Consent-Form Lifecycle and Adverse Reaction Flow</w:t>
      </w:r>
    </w:p>
    <w:p>
      <w:pPr>
        <w:pageBreakBefore/>
      </w:pPr>
    </w:p>
    <w:p>
      <w:pPr>
        <w:spacing w:after="140" w:before="280" w:line="276"/>
      </w:pPr>
      <w:r>
        <w:rPr>
          <w:rFonts w:ascii="Arial" w:cs="Arial" w:eastAsia="Arial" w:hAnsi="Arial"/>
          <w:b/>
          <w:bCs/>
          <w:color w:val="0061FF"/>
          <w:sz w:val="28"/>
          <w:szCs w:val="28"/>
        </w:rPr>
        <w:t xml:space="preserve">1. Overview and Purpose</w:t>
      </w:r>
    </w:p>
    <w:p>
      <w:pPr>
        <w:spacing w:after="120" w:line="276"/>
      </w:pPr>
      <w:r>
        <w:rPr>
          <w:rFonts w:ascii="Arial" w:cs="Arial" w:eastAsia="Arial" w:hAnsi="Arial"/>
          <w:sz w:val="22"/>
          <w:szCs w:val="22"/>
        </w:rPr>
        <w:t xml:space="preserve">This policy governs the fluoride varnish element of MDBUDDY UK LIMITED's supervised oral health programme delivered in education settings. It sets out how varnish is applied safely and how the personal and clinical data on the consent forms is handled lawfully from the point a parent signs to the point the hard copy is destroyed.</w:t>
      </w:r>
    </w:p>
    <w:p>
      <w:pPr>
        <w:spacing w:after="120" w:line="276"/>
      </w:pPr>
      <w:r>
        <w:rPr>
          <w:rFonts w:ascii="Arial" w:cs="Arial" w:eastAsia="Arial" w:hAnsi="Arial"/>
          <w:sz w:val="22"/>
          <w:szCs w:val="22"/>
        </w:rPr>
        <w:t xml:space="preserve">The programme is commissioned by the local authority as a public health intervention, not by the NHS. The clinical accountability for application rests with the attending GDC-registered clinician, acting in the child's best interest. This policy reflects that footing: it is a focused clinical and information governance document for a tightly run, professionally accountable service, not a delegation framework for a large team.</w:t>
      </w:r>
    </w:p>
    <w:p>
      <w:pPr>
        <w:spacing w:after="140" w:before="280" w:line="276"/>
      </w:pPr>
      <w:r>
        <w:rPr>
          <w:rFonts w:ascii="Arial" w:cs="Arial" w:eastAsia="Arial" w:hAnsi="Arial"/>
          <w:b/>
          <w:bCs/>
          <w:color w:val="0061FF"/>
          <w:sz w:val="28"/>
          <w:szCs w:val="28"/>
        </w:rPr>
        <w:t xml:space="preserve">2. Scope and Associated Documents</w:t>
      </w:r>
    </w:p>
    <w:p>
      <w:pPr>
        <w:spacing w:after="120" w:line="276"/>
      </w:pPr>
      <w:r>
        <w:rPr>
          <w:rFonts w:ascii="Arial" w:cs="Arial" w:eastAsia="Arial" w:hAnsi="Arial"/>
          <w:sz w:val="22"/>
          <w:szCs w:val="22"/>
        </w:rPr>
        <w:t xml:space="preserve">This policy applies to every fluoride varnish session MDBuddy delivers in an education setting: the consent process, the safety screening, the application, the handling of the consent forms, and the data they contain. It applies to the clinical staff who deliver the programme and to all staff who handle the resulting data.</w:t>
      </w:r>
    </w:p>
    <w:p>
      <w:pPr>
        <w:spacing w:after="100" w:before="220" w:line="276"/>
      </w:pPr>
      <w:r>
        <w:rPr>
          <w:rFonts w:ascii="Arial" w:cs="Arial" w:eastAsia="Arial" w:hAnsi="Arial"/>
          <w:b/>
          <w:bCs/>
          <w:color w:val="0061FF"/>
          <w:sz w:val="24"/>
          <w:szCs w:val="24"/>
        </w:rPr>
        <w:t xml:space="preserve">Associated Documents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CL-02 Clinical Governance Framework</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CL-03 Patient Safety Incident Procedure</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CL-04 Clinical Records Management Policy</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DA-01 Master Data Protection Policy and DA-05 Children's Data Protection Policy</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DA-06 Data Sharing Agreement Framework and the School Data Sharing Agreement (CL-08-A)</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DA-08 Data Retention Schedule; DA-10 Data Classification Schema; DI-07 Physical Security Policy</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DA-14 Record of Processing Activities; DA-04-A DPIA Documentation</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OP-13 COSHH Policy (fluoride varnish as a substance); RA-01 and RA-07 risk assessments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SG-01 Safeguarding Children Policy</w:t>
      </w:r>
    </w:p>
    <w:p>
      <w:pPr>
        <w:spacing w:after="140" w:before="280" w:line="276"/>
      </w:pPr>
      <w:r>
        <w:rPr>
          <w:rFonts w:ascii="Arial" w:cs="Arial" w:eastAsia="Arial" w:hAnsi="Arial"/>
          <w:b/>
          <w:bCs/>
          <w:color w:val="0061FF"/>
          <w:sz w:val="28"/>
          <w:szCs w:val="28"/>
        </w:rPr>
        <w:t xml:space="preserve">3. Definitions and Abbreviations</w:t>
      </w:r>
    </w:p>
    <w:p>
      <w:pPr>
        <w:spacing w:after="120" w:line="276"/>
      </w:pPr>
      <w:r>
        <w:rPr>
          <w:b/>
          <w:bCs/>
        </w:rPr>
        <w:t xml:space="preserve">Fluoride varnish. </w:t>
      </w:r>
      <w:r>
        <w:t xml:space="preserve">A high-concentration fluoride preparation painted onto teeth to prevent decay; in this programme a 22,600 ppm (5% sodium fluoride) varnish applied per the national standard.</w:t>
      </w:r>
    </w:p>
    <w:p>
      <w:pPr>
        <w:spacing w:after="120" w:line="276"/>
      </w:pPr>
      <w:r>
        <w:rPr>
          <w:b/>
          <w:bCs/>
        </w:rPr>
        <w:t xml:space="preserve">DBOH. </w:t>
      </w:r>
      <w:r>
        <w:t xml:space="preserve">Delivering Better Oral Health: the national evidence-based toolkit for prevention, which sets the fluoride varnish standard followed by this programme.</w:t>
      </w:r>
    </w:p>
    <w:p>
      <w:pPr>
        <w:spacing w:after="120" w:line="276"/>
      </w:pPr>
      <w:r>
        <w:rPr>
          <w:b/>
          <w:bCs/>
        </w:rPr>
        <w:t xml:space="preserve">Contraindication. </w:t>
      </w:r>
      <w:r>
        <w:t xml:space="preserve">A reason not to apply varnish to a particular child, principally a known allergy; a precaution is a reason for additional care, principally severe or poorly controlled asthma.</w:t>
      </w:r>
    </w:p>
    <w:p>
      <w:pPr>
        <w:spacing w:after="120" w:line="276"/>
      </w:pPr>
      <w:r>
        <w:rPr>
          <w:b/>
          <w:bCs/>
        </w:rPr>
        <w:t xml:space="preserve">Colophony. </w:t>
      </w:r>
      <w:r>
        <w:t xml:space="preserve">A resin present in some fluoride varnishes; relevant to allergy and severe asthma screening.</w:t>
      </w:r>
    </w:p>
    <w:p>
      <w:pPr>
        <w:spacing w:after="140" w:before="280" w:line="276"/>
      </w:pPr>
      <w:r>
        <w:rPr>
          <w:rFonts w:ascii="Arial" w:cs="Arial" w:eastAsia="Arial" w:hAnsi="Arial"/>
          <w:b/>
          <w:bCs/>
          <w:color w:val="0061FF"/>
          <w:sz w:val="28"/>
          <w:szCs w:val="28"/>
        </w:rPr>
        <w:t xml:space="preserve">4. Legal and Regulatory Framework</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Health and Social Care Act 2012 (local authority public health functions, the basis for the commission)</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Care Quality Commission (Registration) Regulations 2009 and the scope-of-registration position for this preventive activity</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General Dental Council standards and scope of practice (dentist; OHE / dental nurse with the extended duty of applying fluoride varnish to prescription or under an approved protocol)</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Delivering Better Oral Health (DBOH), current edition, and the SE England / national fluoride varnish programme guidance</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Human Medicines Regulations 2012 (the basis on which fluoride varnish is applied in a public health programme)</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UK GDPR and Data Protection Act 2018 (the consent-form data)</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Gillick competence and parental responsibility principles (consent for children)</w:t>
      </w:r>
    </w:p>
    <w:p>
      <w:pPr>
        <w:spacing w:after="140" w:before="280" w:line="276"/>
      </w:pPr>
      <w:r>
        <w:rPr>
          <w:rFonts w:ascii="Arial" w:cs="Arial" w:eastAsia="Arial" w:hAnsi="Arial"/>
          <w:b/>
          <w:bCs/>
          <w:color w:val="0061FF"/>
          <w:sz w:val="28"/>
          <w:szCs w:val="28"/>
        </w:rPr>
        <w:t xml:space="preserve">5. Policy Statements</w:t>
      </w:r>
    </w:p>
    <w:p>
      <w:pPr>
        <w:spacing w:after="100" w:before="220" w:line="276"/>
      </w:pPr>
      <w:r>
        <w:rPr>
          <w:rFonts w:ascii="Arial" w:cs="Arial" w:eastAsia="Arial" w:hAnsi="Arial"/>
          <w:b/>
          <w:bCs/>
          <w:color w:val="0061FF"/>
          <w:sz w:val="24"/>
          <w:szCs w:val="24"/>
        </w:rPr>
        <w:t xml:space="preserve">5.1 Clinical Accountability and Who Applies the Varnish</w:t>
      </w:r>
    </w:p>
    <w:p>
      <w:pPr>
        <w:spacing w:after="120" w:line="276"/>
      </w:pPr>
      <w:r>
        <w:rPr>
          <w:rFonts w:ascii="Arial" w:cs="Arial" w:eastAsia="Arial" w:hAnsi="Arial"/>
          <w:sz w:val="22"/>
          <w:szCs w:val="22"/>
        </w:rPr>
        <w:t xml:space="preserve">Fluoride varnish is applied only by a GDC-registered dentist, or by a GDC-registered oral health educator or dental nurse qualified at OHE Level 3 and certified to apply fluoride varnish, working under the clinical accountability of the dentist (the Clinical Director). No other person applies varnish. The Clinical Director holds overall clinical responsibility for the programme.</w:t>
      </w:r>
    </w:p>
    <w:p>
      <w:pPr>
        <w:spacing w:after="120" w:line="276"/>
      </w:pPr>
      <w:r>
        <w:rPr>
          <w:rFonts w:ascii="Arial" w:cs="Arial" w:eastAsia="Arial" w:hAnsi="Arial"/>
          <w:sz w:val="22"/>
          <w:szCs w:val="22"/>
        </w:rPr>
        <w:t xml:space="preserve">Restricting application to these roles is a deliberate clinical governance choice: it keeps the intervention within direct professional accountability and removes the need for delegation to unqualified staff.</w:t>
      </w:r>
    </w:p>
    <w:p>
      <w:pPr>
        <w:spacing w:after="100" w:before="220" w:line="276"/>
      </w:pPr>
      <w:r>
        <w:rPr>
          <w:rFonts w:ascii="Arial" w:cs="Arial" w:eastAsia="Arial" w:hAnsi="Arial"/>
          <w:b/>
          <w:bCs/>
          <w:color w:val="0061FF"/>
          <w:sz w:val="24"/>
          <w:szCs w:val="24"/>
        </w:rPr>
        <w:t xml:space="preserve">5.2 The Clinical Standard</w:t>
      </w:r>
    </w:p>
    <w:p>
      <w:pPr>
        <w:spacing w:after="120" w:line="276"/>
      </w:pPr>
      <w:r>
        <w:rPr>
          <w:rFonts w:ascii="Arial" w:cs="Arial" w:eastAsia="Arial" w:hAnsi="Arial"/>
          <w:sz w:val="22"/>
          <w:szCs w:val="22"/>
        </w:rPr>
        <w:t xml:space="preserve">The programme follows Delivering Better Oral Health and the national fluoride varnish programme guidance for indication, frequency, dosage by age, and technique. Varnish is offered up to twice yearly to participating children, in line with the standard. Where DBOH is updated, the programme follows the current edition.</w:t>
      </w:r>
    </w:p>
    <w:p>
      <w:pPr>
        <w:spacing w:after="100" w:before="220" w:line="276"/>
      </w:pPr>
      <w:r>
        <w:rPr>
          <w:rFonts w:ascii="Arial" w:cs="Arial" w:eastAsia="Arial" w:hAnsi="Arial"/>
          <w:b/>
          <w:bCs/>
          <w:color w:val="0061FF"/>
          <w:sz w:val="24"/>
          <w:szCs w:val="24"/>
        </w:rPr>
        <w:t xml:space="preserve">5.3 Consent</w:t>
      </w:r>
    </w:p>
    <w:p>
      <w:pPr>
        <w:spacing w:after="120" w:line="276"/>
      </w:pPr>
      <w:r>
        <w:rPr>
          <w:rFonts w:ascii="Arial" w:cs="Arial" w:eastAsia="Arial" w:hAnsi="Arial"/>
          <w:sz w:val="22"/>
          <w:szCs w:val="22"/>
        </w:rPr>
        <w:t xml:space="preserve">Varnish is applied only with valid parental or carer consent given in advance on the programme consent form. Consent is informed: the form explains what varnish is, why it is offered, and the safety questions. A child is not treated without a signed consent form, and a parent may decline or withdraw at any time without affecting the child's participation in the wider programme. Where a child of sufficient maturity objects on the day, that objection is respected regardless of parental consent.</w:t>
      </w:r>
    </w:p>
    <w:p>
      <w:pPr>
        <w:spacing w:after="100" w:before="220" w:line="276"/>
      </w:pPr>
      <w:r>
        <w:rPr>
          <w:rFonts w:ascii="Arial" w:cs="Arial" w:eastAsia="Arial" w:hAnsi="Arial"/>
          <w:b/>
          <w:bCs/>
          <w:color w:val="0061FF"/>
          <w:sz w:val="24"/>
          <w:szCs w:val="24"/>
        </w:rPr>
        <w:t xml:space="preserve">5.4 Contraindication and Safety Screening</w:t>
      </w:r>
    </w:p>
    <w:p>
      <w:pPr>
        <w:spacing w:after="120" w:line="276"/>
      </w:pPr>
      <w:r>
        <w:rPr>
          <w:rFonts w:ascii="Arial" w:cs="Arial" w:eastAsia="Arial" w:hAnsi="Arial"/>
          <w:sz w:val="22"/>
          <w:szCs w:val="22"/>
        </w:rPr>
        <w:t xml:space="preserve">Before applying varnish to any child, the clinician checks the consent form's safety answers and applies the DBOH screen:</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Known allergy to fluoride varnish or its components (including colophony): varnish is not applied.</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Severe or poorly controlled asthma, or a history of hospitalisation for asthma: treated as a precaution; varnish is withheld where the clinician judges the risk is not justified, in line with DBOH.</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Any other clinical concern the clinician identifies on the day: clinical judgement prevails, and the clinician may withhold treatment.</w:t>
      </w:r>
    </w:p>
    <w:p>
      <w:pPr>
        <w:spacing w:after="120" w:line="276"/>
      </w:pPr>
      <w:r>
        <w:rPr>
          <w:rFonts w:ascii="Arial" w:cs="Arial" w:eastAsia="Arial" w:hAnsi="Arial"/>
          <w:sz w:val="22"/>
          <w:szCs w:val="22"/>
        </w:rPr>
        <w:t xml:space="preserve">The clinician's decision to apply or withhold is theirs, exercised on the day in the child's best interest, and recorded.</w:t>
      </w:r>
    </w:p>
    <w:p>
      <w:pPr>
        <w:spacing w:after="100" w:before="220" w:line="276"/>
      </w:pPr>
      <w:r>
        <w:rPr>
          <w:rFonts w:ascii="Arial" w:cs="Arial" w:eastAsia="Arial" w:hAnsi="Arial"/>
          <w:b/>
          <w:bCs/>
          <w:color w:val="0061FF"/>
          <w:sz w:val="24"/>
          <w:szCs w:val="24"/>
        </w:rPr>
        <w:t xml:space="preserve">5.5 Application Procedure</w:t>
      </w:r>
    </w:p>
    <w:p>
      <w:pPr>
        <w:spacing w:after="120" w:line="276"/>
      </w:pPr>
      <w:r>
        <w:rPr>
          <w:rFonts w:ascii="Arial" w:cs="Arial" w:eastAsia="Arial" w:hAnsi="Arial"/>
          <w:sz w:val="22"/>
          <w:szCs w:val="22"/>
        </w:rPr>
        <w:t xml:space="preserve">Varnish is applied per DBOH: teeth dried, the age-appropriate dose applied to the tooth surfaces, and the child and setting given simple aftercare advice (avoid eating or drinking for the recommended short period, soft diet for the rest of the day). Cross-infection control follows CL-01. Fluoride varnish is handled as a substance under OP-13 COSHH, with the manufacturer's safety data sheet held.</w:t>
      </w:r>
    </w:p>
    <w:p>
      <w:pPr>
        <w:spacing w:after="100" w:before="220" w:line="276"/>
      </w:pPr>
      <w:r>
        <w:rPr>
          <w:rFonts w:ascii="Arial" w:cs="Arial" w:eastAsia="Arial" w:hAnsi="Arial"/>
          <w:b/>
          <w:bCs/>
          <w:color w:val="0061FF"/>
          <w:sz w:val="24"/>
          <w:szCs w:val="24"/>
        </w:rPr>
        <w:t xml:space="preserve">5.6 Adverse Reaction Response</w:t>
      </w:r>
    </w:p>
    <w:p>
      <w:pPr>
        <w:spacing w:after="120" w:line="276"/>
      </w:pPr>
      <w:r>
        <w:rPr>
          <w:rFonts w:ascii="Arial" w:cs="Arial" w:eastAsia="Arial" w:hAnsi="Arial"/>
          <w:sz w:val="22"/>
          <w:szCs w:val="22"/>
        </w:rPr>
        <w:t xml:space="preserve">Adverse reactions to fluoride varnish are rare. The clinician is prepared to manage them: an allergic reaction is managed clinically on the spot, with emergency services called for any serious reaction, and the setting's first aid and emergency procedures engaged. Any adverse reaction is recorded and managed as a patient safety incident under CL-03, and parents are informed. The flow is at Appendix B.</w:t>
      </w:r>
    </w:p>
    <w:p>
      <w:pPr>
        <w:spacing w:after="100" w:before="220" w:line="276"/>
      </w:pPr>
      <w:r>
        <w:rPr>
          <w:rFonts w:ascii="Arial" w:cs="Arial" w:eastAsia="Arial" w:hAnsi="Arial"/>
          <w:b/>
          <w:bCs/>
          <w:color w:val="0061FF"/>
          <w:sz w:val="24"/>
          <w:szCs w:val="24"/>
        </w:rPr>
        <w:t xml:space="preserve">5.7 The Consent Form and the Data It Collects</w:t>
      </w:r>
    </w:p>
    <w:p>
      <w:pPr>
        <w:spacing w:after="120" w:line="276"/>
      </w:pPr>
      <w:r>
        <w:rPr>
          <w:rFonts w:ascii="Arial" w:cs="Arial" w:eastAsia="Arial" w:hAnsi="Arial"/>
          <w:sz w:val="22"/>
          <w:szCs w:val="22"/>
        </w:rPr>
        <w:t xml:space="preserve">The consent form collects the child's name, the date of last dental visit, whether the child has had an allergic reaction to fluoride varnish, whether the child has asthma or asthmatic attacks, and the name of the child's registered dentist if any. Each field and the reason for it is set out at Appendix A. The allergy and asthma questions are clinical safety fields. The last-visit and registered-dentist fields are programme and public health fields: they help MDBuddy and the local authority understand the dental access picture in Oldham, where the programme targets areas of high need, and support signposting of children who do not have a dental home. This purpose is stated openly on the form rather than implied.</w:t>
      </w:r>
    </w:p>
    <w:p>
      <w:pPr>
        <w:spacing w:after="120" w:line="276"/>
      </w:pPr>
      <w:r>
        <w:rPr>
          <w:rFonts w:ascii="Arial" w:cs="Arial" w:eastAsia="Arial" w:hAnsi="Arial"/>
          <w:sz w:val="22"/>
          <w:szCs w:val="22"/>
        </w:rPr>
        <w:t xml:space="preserve">The AI guided-brushing feature is a separate matter and is not part of this consent form. Consent to process a child's video for the AI brushing tool is governed by its own notice (PB-12) and its own consent, and is never bundled with fluoride varnish consent. Bundling would taint both consents and is not done.</w:t>
      </w:r>
    </w:p>
    <w:p>
      <w:pPr>
        <w:spacing w:after="100" w:before="220" w:line="276"/>
      </w:pPr>
      <w:r>
        <w:rPr>
          <w:rFonts w:ascii="Arial" w:cs="Arial" w:eastAsia="Arial" w:hAnsi="Arial"/>
          <w:b/>
          <w:bCs/>
          <w:color w:val="0061FF"/>
          <w:sz w:val="24"/>
          <w:szCs w:val="24"/>
        </w:rPr>
        <w:t xml:space="preserve">5.8 Lawful Basis for the Data</w:t>
      </w:r>
    </w:p>
    <w:p>
      <w:pPr>
        <w:spacing w:after="120" w:line="276"/>
      </w:pPr>
      <w:r>
        <w:rPr>
          <w:rFonts w:ascii="Arial" w:cs="Arial" w:eastAsia="Arial" w:hAnsi="Arial"/>
          <w:sz w:val="22"/>
          <w:szCs w:val="22"/>
        </w:rPr>
        <w:t xml:space="preserve">MDBuddy processes the consent-form data on the following bases: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UK GDPR Article 6(1)(e) public task, for delivery of the local-authority-commissioned public health programme, supported by Article 6(1)(c) where a legal obligation applies and Article 6(1)(a) consent for the act of treatment.</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UK GDPR Article 9(2)(h) (health and social care) and Article 9(2)(i) (public health) for the health data (allergy, asthma), as the data is processed by or under the responsibility of a registered health professional.</w:t>
      </w:r>
    </w:p>
    <w:p>
      <w:pPr>
        <w:spacing w:after="120" w:line="276"/>
      </w:pPr>
      <w:r>
        <w:rPr>
          <w:rFonts w:ascii="Arial" w:cs="Arial" w:eastAsia="Arial" w:hAnsi="Arial"/>
          <w:sz w:val="22"/>
          <w:szCs w:val="22"/>
        </w:rPr>
        <w:t xml:space="preserve">Consent on the form is consent to the clinical intervention and to the associated processing; the public task basis is the primary basis for the programme processing, consistent with the local authority commission.</w:t>
      </w:r>
    </w:p>
    <w:p>
      <w:pPr>
        <w:spacing w:after="100" w:before="220" w:line="276"/>
      </w:pPr>
      <w:r>
        <w:rPr>
          <w:rFonts w:ascii="Arial" w:cs="Arial" w:eastAsia="Arial" w:hAnsi="Arial"/>
          <w:b/>
          <w:bCs/>
          <w:color w:val="0061FF"/>
          <w:sz w:val="24"/>
          <w:szCs w:val="24"/>
        </w:rPr>
        <w:t xml:space="preserve">5.9 The Consent-Form Lifecycle</w:t>
      </w:r>
    </w:p>
    <w:p>
      <w:pPr>
        <w:spacing w:after="120" w:line="276"/>
      </w:pPr>
      <w:r>
        <w:rPr>
          <w:rFonts w:ascii="Arial" w:cs="Arial" w:eastAsia="Arial" w:hAnsi="Arial"/>
          <w:sz w:val="22"/>
          <w:szCs w:val="22"/>
        </w:rPr>
        <w:t xml:space="preserve">The signed paper form moves through a defined lifecycle from parent to setting to clinician to MDBuddy's secure storage to destruction. The full lifecycle is at Appendix B. In summary: the setting collects and holds signed forms; hands them to the clinician on the day; the clinician uses and then takes them into MDBuddy's control; MDBuddy stores them securely (Highly Confidential under DA-10, DI-07 physical security), transfers the data to its secure record, and destroys the hard copy by logged cross-cut shredding within the DA-08 retention period.</w:t>
      </w:r>
    </w:p>
    <w:p>
      <w:pPr>
        <w:spacing w:after="100" w:before="220" w:line="276"/>
      </w:pPr>
      <w:r>
        <w:rPr>
          <w:rFonts w:ascii="Arial" w:cs="Arial" w:eastAsia="Arial" w:hAnsi="Arial"/>
          <w:b/>
          <w:bCs/>
          <w:color w:val="0061FF"/>
          <w:sz w:val="24"/>
          <w:szCs w:val="24"/>
        </w:rPr>
        <w:t xml:space="preserve">5.10 Data Controller Position and Data Sharing with Settings</w:t>
      </w:r>
    </w:p>
    <w:p>
      <w:pPr>
        <w:spacing w:after="120" w:line="276"/>
      </w:pPr>
      <w:r>
        <w:rPr>
          <w:rFonts w:ascii="Arial" w:cs="Arial" w:eastAsia="Arial" w:hAnsi="Arial"/>
          <w:sz w:val="22"/>
          <w:szCs w:val="22"/>
        </w:rPr>
        <w:t xml:space="preserve">MDBuddy and the education setting are independent controllers of the consent-form data, not controller and processor. Neither processes on the other's instructions: the setting facilitates the programme for its pupils and holds forms until the visit under its own duties; MDBuddy delivers the commissioned clinical service and holds the data for its own purposes thereafter. The correct instrument is therefore a controller-to-controller data sharing agreement, not a data processing agreement. This is provided as the School Data Sharing Agreement (CL-08-A) under the DA-06 framework, and is put in place with each participating setting. The controller position is recorded consistently here and in DA-14; it must not be described as a processor relationship in any setting-facing document.</w:t>
      </w:r>
    </w:p>
    <w:p>
      <w:pPr>
        <w:spacing w:after="140" w:before="280" w:line="276"/>
      </w:pPr>
      <w:r>
        <w:rPr>
          <w:rFonts w:ascii="Arial" w:cs="Arial" w:eastAsia="Arial" w:hAnsi="Arial"/>
          <w:b/>
          <w:bCs/>
          <w:color w:val="0061FF"/>
          <w:sz w:val="28"/>
          <w:szCs w:val="28"/>
        </w:rPr>
        <w:t xml:space="preserve">6. Roles and Responsibilities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Clinical Director (GDC-registered dentist): overall clinical accountability for the programme; applies varnish; sets and reviews the clinical protocol against DBOH; sole signatory for data sharing agreements.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OHE Level 3 (fluoride varnish certified): applies varnish under the Clinical Director's clinical accountability; conducts the screening; records outcomes.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Dr Ramzan Mohammed, DPO: owns the data protection elements; maintains the lawful basis position and the DA-14 entry; approves the school data sharing agreement.</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Settings: distribute and collect consent forms; hold them securely until the visit; hand them to the clinician; act as independent controller for their part under the data sharing agreement.</w:t>
      </w:r>
    </w:p>
    <w:p>
      <w:pPr>
        <w:spacing w:after="140" w:before="280" w:line="276"/>
      </w:pPr>
      <w:r>
        <w:rPr>
          <w:rFonts w:ascii="Arial" w:cs="Arial" w:eastAsia="Arial" w:hAnsi="Arial"/>
          <w:b/>
          <w:bCs/>
          <w:color w:val="0061FF"/>
          <w:sz w:val="28"/>
          <w:szCs w:val="28"/>
        </w:rPr>
        <w:t xml:space="preserve">7. Procedure</w:t>
      </w:r>
    </w:p>
    <w:p>
      <w:pPr>
        <w:spacing w:after="120" w:line="276"/>
      </w:pPr>
      <w:r>
        <w:rPr>
          <w:rFonts w:ascii="Arial" w:cs="Arial" w:eastAsia="Arial" w:hAnsi="Arial"/>
          <w:sz w:val="22"/>
          <w:szCs w:val="22"/>
        </w:rPr>
        <w:t xml:space="preserve">Consent: setting distributes and collects signed forms in advance.</w:t>
      </w:r>
    </w:p>
    <w:p>
      <w:pPr>
        <w:spacing w:after="120" w:line="276"/>
      </w:pPr>
      <w:r>
        <w:rPr>
          <w:rFonts w:ascii="Arial" w:cs="Arial" w:eastAsia="Arial" w:hAnsi="Arial"/>
          <w:sz w:val="22"/>
          <w:szCs w:val="22"/>
        </w:rPr>
        <w:t xml:space="preserve">On the day: forms handed over; clinician screens each child (5.4); applies or withholds per DBOH and clinical judgement; records outcome and gives aftercare.</w:t>
      </w:r>
    </w:p>
    <w:p>
      <w:pPr>
        <w:spacing w:after="120" w:line="276"/>
      </w:pPr>
      <w:r>
        <w:rPr>
          <w:rFonts w:ascii="Arial" w:cs="Arial" w:eastAsia="Arial" w:hAnsi="Arial"/>
          <w:sz w:val="22"/>
          <w:szCs w:val="22"/>
        </w:rPr>
        <w:t xml:space="preserve">After: clinician takes forms into MDBuddy's control; data recorded securely; hard copy shredded and logged within the DA-08 period.</w:t>
      </w:r>
    </w:p>
    <w:p>
      <w:pPr>
        <w:spacing w:after="120" w:line="276"/>
      </w:pPr>
      <w:r>
        <w:rPr>
          <w:rFonts w:ascii="Arial" w:cs="Arial" w:eastAsia="Arial" w:hAnsi="Arial"/>
          <w:sz w:val="22"/>
          <w:szCs w:val="22"/>
        </w:rPr>
        <w:t xml:space="preserve">Adverse reaction: managed clinically; recorded as a CL-03 incident; parents informed.</w:t>
      </w:r>
    </w:p>
    <w:p>
      <w:pPr>
        <w:spacing w:after="140" w:before="280" w:line="276"/>
      </w:pPr>
      <w:r>
        <w:rPr>
          <w:rFonts w:ascii="Arial" w:cs="Arial" w:eastAsia="Arial" w:hAnsi="Arial"/>
          <w:b/>
          <w:bCs/>
          <w:color w:val="0061FF"/>
          <w:sz w:val="28"/>
          <w:szCs w:val="28"/>
        </w:rPr>
        <w:t xml:space="preserve">8. Training and Competency</w:t>
      </w:r>
    </w:p>
    <w:p>
      <w:pPr>
        <w:spacing w:after="120" w:line="276"/>
      </w:pPr>
      <w:r>
        <w:rPr>
          <w:rFonts w:ascii="Arial" w:cs="Arial" w:eastAsia="Arial" w:hAnsi="Arial"/>
          <w:sz w:val="22"/>
          <w:szCs w:val="22"/>
        </w:rPr>
        <w:t xml:space="preserve">Application is restricted to a GDC-registered dentist and an OHE Level 3 certified in fluoride varnish application; evidence of qualification and certification is held. Both maintain CPD relevant to the intervention. No competency framework for wider staff is needed because no wider staff apply varnish. Basic life support and medical emergency readiness are maintained in line with the programme's clinical standard.</w:t>
      </w:r>
    </w:p>
    <w:p>
      <w:pPr>
        <w:spacing w:after="140" w:before="280" w:line="276"/>
      </w:pPr>
      <w:r>
        <w:rPr>
          <w:rFonts w:ascii="Arial" w:cs="Arial" w:eastAsia="Arial" w:hAnsi="Arial"/>
          <w:b/>
          <w:bCs/>
          <w:color w:val="0061FF"/>
          <w:sz w:val="28"/>
          <w:szCs w:val="28"/>
        </w:rPr>
        <w:t xml:space="preserve">9. Monitoring, Review and Assurance</w:t>
      </w:r>
    </w:p>
    <w:p>
      <w:pPr>
        <w:spacing w:after="120" w:line="276"/>
      </w:pPr>
      <w:r>
        <w:rPr>
          <w:rFonts w:ascii="Arial" w:cs="Arial" w:eastAsia="Arial" w:hAnsi="Arial"/>
          <w:sz w:val="22"/>
          <w:szCs w:val="22"/>
        </w:rPr>
        <w:t xml:space="preserve">Programme delivery, consent completeness, screening, and any adverse reactions are monitored and reported to the local authority commissioner as required. The clinical protocol is reviewed against the current DBOH edition. The data handling is reviewed against DA-08 and DA-14. Sample audit at CT-01. This policy is reviewed annually or sooner on a change in DBOH, the commission, or the law.</w:t>
      </w:r>
    </w:p>
    <w:p>
      <w:pPr>
        <w:spacing w:after="140" w:before="280" w:line="276"/>
      </w:pPr>
      <w:r>
        <w:rPr>
          <w:rFonts w:ascii="Arial" w:cs="Arial" w:eastAsia="Arial" w:hAnsi="Arial"/>
          <w:b/>
          <w:bCs/>
          <w:color w:val="0061FF"/>
          <w:sz w:val="28"/>
          <w:szCs w:val="28"/>
        </w:rPr>
        <w:t xml:space="preserve">10. Related Documents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CL-01, CL-02, CL-03, CL-04, DA-01, DA-05, DA-06, DA-08, DA-10, DA-14, DA-04-A, DI-07, OP-13, RA-01, RA-07, SG-01, and the School Data Sharing Agreement CL-08-A</w:t>
      </w:r>
    </w:p>
    <w:p>
      <w:pPr>
        <w:spacing w:after="140" w:before="280" w:line="276"/>
      </w:pPr>
      <w:r>
        <w:rPr>
          <w:rFonts w:ascii="Arial" w:cs="Arial" w:eastAsia="Arial" w:hAnsi="Arial"/>
          <w:b/>
          <w:bCs/>
          <w:color w:val="0061FF"/>
          <w:sz w:val="28"/>
          <w:szCs w:val="28"/>
        </w:rPr>
        <w:t xml:space="preserve">11. References</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Delivering Better Oral Health (current edition), fluoride varnish chapter</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Health and Social Care Act 2012</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GDC Scope of Practice and Standards for the Dental Team</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Human Medicines Regulations 2012</w:t>
      </w:r>
    </w:p>
    <w:p>
      <w:pPr>
        <w:spacing w:after="80" w:line="276"/>
        <w:ind w:left="360" w:hanging="200"/>
      </w:pPr>
      <w:r>
        <w:rPr>
          <w:rFonts w:ascii="Arial" w:cs="Arial" w:eastAsia="Arial" w:hAnsi="Arial"/>
          <w:sz w:val="22"/>
          <w:szCs w:val="22"/>
        </w:rPr>
        <w:t xml:space="preserve">•  </w:t>
      </w:r>
      <w:r>
        <w:rPr>
          <w:rFonts w:ascii="Arial" w:cs="Arial" w:eastAsia="Arial" w:hAnsi="Arial"/>
          <w:sz w:val="22"/>
          <w:szCs w:val="22"/>
        </w:rPr>
        <w:t xml:space="preserve">ICO guidance on lawful basis and on children's data</w:t>
      </w:r>
    </w:p>
    <w:p>
      <w:pPr>
        <w:pageBreakBefore/>
      </w:pPr>
    </w:p>
    <w:p>
      <w:pPr>
        <w:spacing w:after="140" w:before="280" w:line="276"/>
      </w:pPr>
      <w:r>
        <w:rPr>
          <w:rFonts w:ascii="Arial" w:cs="Arial" w:eastAsia="Arial" w:hAnsi="Arial"/>
          <w:b/>
          <w:bCs/>
          <w:color w:val="0061FF"/>
          <w:sz w:val="28"/>
          <w:szCs w:val="28"/>
        </w:rPr>
        <w:t xml:space="preserve">12. Document Control Information</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Document title</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Fluoride Varnish Programme Policy</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Document number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CL-08</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Version</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v2.0</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Classification</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Internal</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Owner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Dr Ramzan Mohammed, Clinical Director</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Approver</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Dr Ramzan Mohammed, CEO</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Review cycle</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Annual</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Date of effect</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2026</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Date of amendment</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2026</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Next review</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1 May 2027</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Search terms</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fluoride varnish, consent, contraindications, asthma, allergy, DBOH, clinical, CL-08</w:t>
            </w:r>
          </w:p>
        </w:tc>
      </w:tr>
    </w:tbl>
    <w:p>
      <w:pPr>
        <w:spacing w:after="120"/>
      </w:pPr>
    </w:p>
    <w:p>
      <w:pPr>
        <w:spacing w:after="100" w:before="220" w:line="276"/>
      </w:pPr>
      <w:r>
        <w:rPr>
          <w:rFonts w:ascii="Arial" w:cs="Arial" w:eastAsia="Arial" w:hAnsi="Arial"/>
          <w:b/>
          <w:bCs/>
          <w:color w:val="0061FF"/>
          <w:sz w:val="24"/>
          <w:szCs w:val="24"/>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200"/>
        <w:gridCol w:w="1800"/>
        <w:gridCol w:w="2400"/>
        <w:gridCol w:w="3626"/>
      </w:tblGrid>
      <w:tr>
        <w:trPr>
          <w:tblHeader/>
        </w:trPr>
        <w:tc>
          <w:tcPr>
            <w:tcW w:type="dxa" w:w="12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Version</w:t>
            </w:r>
          </w:p>
        </w:tc>
        <w:tc>
          <w:tcPr>
            <w:tcW w:type="dxa" w:w="18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Date</w:t>
            </w:r>
          </w:p>
        </w:tc>
        <w:tc>
          <w:tcPr>
            <w:tcW w:type="dxa" w:w="24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Author</w:t>
            </w:r>
          </w:p>
        </w:tc>
        <w:tc>
          <w:tcPr>
            <w:tcW w:type="dxa" w:w="3626"/>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Summary of changes</w:t>
            </w:r>
          </w:p>
        </w:tc>
      </w:tr>
      <w:tr>
        <w:tc>
          <w:tcPr>
            <w:tcW w:type="dxa" w:w="1200"/>
            <w:tcMar>
              <w:top w:type="dxa" w:w="60"/>
              <w:left w:type="dxa" w:w="100"/>
              <w:bottom w:type="dxa" w:w="60"/>
              <w:right w:type="dxa" w:w="100"/>
            </w:tcMar>
          </w:tcPr>
          <w:p>
            <w:pPr>
              <w:spacing w:after="0" w:line="252"/>
            </w:pPr>
            <w:r>
              <w:rPr>
                <w:rFonts w:ascii="Arial" w:cs="Arial" w:eastAsia="Arial" w:hAnsi="Arial"/>
                <w:sz w:val="18"/>
                <w:szCs w:val="18"/>
              </w:rPr>
              <w:t xml:space="preserve">v2.0</w:t>
            </w:r>
          </w:p>
        </w:tc>
        <w:tc>
          <w:tcPr>
            <w:tcW w:type="dxa" w:w="1800"/>
            <w:tcMar>
              <w:top w:type="dxa" w:w="60"/>
              <w:left w:type="dxa" w:w="100"/>
              <w:bottom w:type="dxa" w:w="60"/>
              <w:right w:type="dxa" w:w="100"/>
            </w:tcMar>
          </w:tcPr>
          <w:p>
            <w:pPr>
              <w:spacing w:after="0" w:line="252"/>
            </w:pPr>
            <w:r>
              <w:rPr>
                <w:rFonts w:ascii="Arial" w:cs="Arial" w:eastAsia="Arial" w:hAnsi="Arial"/>
                <w:sz w:val="18"/>
                <w:szCs w:val="18"/>
              </w:rPr>
              <w:t xml:space="preserve">1 May 2026</w:t>
            </w:r>
          </w:p>
        </w:tc>
        <w:tc>
          <w:tcPr>
            <w:tcW w:type="dxa" w:w="2400"/>
            <w:tcMar>
              <w:top w:type="dxa" w:w="60"/>
              <w:left w:type="dxa" w:w="100"/>
              <w:bottom w:type="dxa" w:w="60"/>
              <w:right w:type="dxa" w:w="100"/>
            </w:tcMar>
          </w:tcPr>
          <w:p>
            <w:pPr>
              <w:spacing w:after="0" w:line="252"/>
            </w:pPr>
            <w:r>
              <w:rPr>
                <w:rFonts w:ascii="Arial" w:cs="Arial" w:eastAsia="Arial" w:hAnsi="Arial"/>
                <w:sz w:val="18"/>
                <w:szCs w:val="18"/>
              </w:rPr>
              <w:t xml:space="preserve">Dr Ramzan Mohammed</w:t>
            </w:r>
          </w:p>
        </w:tc>
        <w:tc>
          <w:tcPr>
            <w:tcW w:type="dxa" w:w="3626"/>
            <w:tcMar>
              <w:top w:type="dxa" w:w="60"/>
              <w:left w:type="dxa" w:w="100"/>
              <w:bottom w:type="dxa" w:w="60"/>
              <w:right w:type="dxa" w:w="100"/>
            </w:tcMar>
          </w:tcPr>
          <w:p>
            <w:pPr>
              <w:spacing w:after="0" w:line="252"/>
            </w:pPr>
            <w:r>
              <w:rPr>
                <w:rFonts w:ascii="Arial" w:cs="Arial" w:eastAsia="Arial" w:hAnsi="Arial"/>
                <w:sz w:val="18"/>
                <w:szCs w:val="18"/>
              </w:rPr>
              <w:t xml:space="preserve">First issue (CL-08). Governs the local-authority-commissioned fluoride varnish programme: clinical accountability and application roles, DBOH standard, consent, contraindication screening, adverse reaction response, and the full consent-form data lifecycle and lawful basis. Establishes the independent-controller position with settings and the linked School Data Sharing Agreement CL-08-A.</w:t>
            </w:r>
          </w:p>
        </w:tc>
      </w:tr>
    </w:tbl>
    <w:p>
      <w:pPr>
        <w:pageBreakBefore/>
      </w:pPr>
    </w:p>
    <w:p>
      <w:pPr>
        <w:spacing w:after="140" w:before="280" w:line="276"/>
      </w:pPr>
      <w:r>
        <w:rPr>
          <w:rFonts w:ascii="Arial" w:cs="Arial" w:eastAsia="Arial" w:hAnsi="Arial"/>
          <w:b/>
          <w:bCs/>
          <w:color w:val="0061FF"/>
          <w:sz w:val="28"/>
          <w:szCs w:val="28"/>
        </w:rPr>
        <w:t xml:space="preserve">Equality Impact Assessment</w:t>
      </w:r>
    </w:p>
    <w:p>
      <w:pPr>
        <w:spacing w:after="120" w:line="276"/>
      </w:pPr>
      <w:r>
        <w:rPr>
          <w:rFonts w:ascii="Arial" w:cs="Arial" w:eastAsia="Arial" w:hAnsi="Arial"/>
          <w:sz w:val="22"/>
          <w:szCs w:val="22"/>
        </w:rPr>
        <w:t xml:space="preserve">This assessment was carried out using the OR-12 Equality Impact Assessment Procedure at the issue of this version.</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rPr>
          <w:tblHeader/>
        </w:trPr>
        <w:tc>
          <w:tcPr>
            <w:tcW w:type="dxa" w:w="30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Protected characteristic</w:t>
            </w:r>
          </w:p>
        </w:tc>
        <w:tc>
          <w:tcPr>
            <w:tcW w:type="dxa" w:w="6026"/>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Considered</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Age</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Disability</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Gender reassignment</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Marriage and civil partnership</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Pregnancy and maternity</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Race</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Religion or belief</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Sex</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r>
        <w:tc>
          <w:tcPr>
            <w:tcW w:type="dxa" w:w="30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Sexual orientation</w:t>
            </w:r>
          </w:p>
        </w:tc>
        <w:tc>
          <w:tcPr>
            <w:tcW w:type="dxa" w:w="6026"/>
            <w:tcMar>
              <w:top w:type="dxa" w:w="60"/>
              <w:left w:type="dxa" w:w="100"/>
              <w:bottom w:type="dxa" w:w="60"/>
              <w:right w:type="dxa" w:w="100"/>
            </w:tcMar>
          </w:tcPr>
          <w:p>
            <w:pPr>
              <w:spacing w:after="0" w:line="252"/>
            </w:pPr>
            <w:r>
              <w:rPr>
                <w:rFonts w:ascii="Arial" w:cs="Arial" w:eastAsia="Arial" w:hAnsi="Arial"/>
                <w:sz w:val="18"/>
                <w:szCs w:val="18"/>
              </w:rPr>
              <w:t xml:space="preserve">Yes - assessed under OR-12 EIA Procedure</w:t>
            </w:r>
          </w:p>
        </w:tc>
      </w:tr>
    </w:tbl>
    <w:p>
      <w:pPr>
        <w:spacing w:after="120"/>
      </w:pPr>
    </w:p>
    <w:p>
      <w:pPr>
        <w:spacing w:after="100" w:before="220" w:line="276"/>
      </w:pPr>
      <w:r>
        <w:rPr>
          <w:rFonts w:ascii="Arial" w:cs="Arial" w:eastAsia="Arial" w:hAnsi="Arial"/>
          <w:b/>
          <w:bCs/>
          <w:color w:val="0061FF"/>
          <w:sz w:val="24"/>
          <w:szCs w:val="24"/>
        </w:rPr>
        <w:t xml:space="preserve">Assessment</w:t>
      </w:r>
    </w:p>
    <w:p>
      <w:pPr>
        <w:spacing w:after="120" w:line="276"/>
      </w:pPr>
      <w:r>
        <w:rPr>
          <w:rFonts w:ascii="Arial" w:cs="Arial" w:eastAsia="Arial" w:hAnsi="Arial"/>
          <w:sz w:val="22"/>
          <w:szCs w:val="22"/>
        </w:rPr>
        <w:t xml:space="preserve">The programme is targeted at areas of high need in Oldham, which is an equality intervention: it directs a preventive health benefit to children least likely to have a dental home. The last-visit and registered-dentist data, recorded for programme and access purposes, supports identifying and signposting children excluded from routine dental care. Children's health data is handled under the strictest classification and by registered health professionals only. Consent is free and refusal does not affect wider participation. The clinical screening protects children with allergies and asthma equally and individually.</w:t>
      </w:r>
    </w:p>
    <w:p>
      <w:pPr>
        <w:spacing w:after="120" w:line="276"/>
      </w:pPr>
      <w:r>
        <w:rPr>
          <w:rFonts w:ascii="Arial" w:cs="Arial" w:eastAsia="Arial" w:hAnsi="Arial"/>
          <w:sz w:val="22"/>
          <w:szCs w:val="22"/>
        </w:rPr>
        <w:t xml:space="preserve">Decision: proceed. Review at the next document refresh or sooner on any material change.</w:t>
      </w:r>
    </w:p>
    <w:p>
      <w:pPr>
        <w:pageBreakBefore/>
      </w:pPr>
    </w:p>
    <w:p>
      <w:pPr>
        <w:spacing w:after="140" w:before="280" w:line="276"/>
      </w:pPr>
      <w:r>
        <w:rPr>
          <w:rFonts w:ascii="Arial" w:cs="Arial" w:eastAsia="Arial" w:hAnsi="Arial"/>
          <w:b/>
          <w:bCs/>
          <w:color w:val="0061FF"/>
          <w:sz w:val="28"/>
          <w:szCs w:val="28"/>
        </w:rPr>
        <w:t xml:space="preserve">14. Appendices</w:t>
      </w:r>
    </w:p>
    <w:p>
      <w:pPr>
        <w:spacing w:after="100" w:before="220" w:line="276"/>
      </w:pPr>
      <w:r>
        <w:rPr>
          <w:rFonts w:ascii="Arial" w:cs="Arial" w:eastAsia="Arial" w:hAnsi="Arial"/>
          <w:b/>
          <w:bCs/>
          <w:color w:val="0061FF"/>
          <w:sz w:val="24"/>
          <w:szCs w:val="24"/>
        </w:rPr>
        <w:t xml:space="preserve">Appendix A. Consent Form Data Fields and Justification</w:t>
      </w:r>
    </w:p>
    <w:p>
      <w:pPr>
        <w:spacing w:after="120" w:line="276"/>
      </w:pPr>
      <w:r>
        <w:rPr>
          <w:rFonts w:ascii="Arial" w:cs="Arial" w:eastAsia="Arial" w:hAnsi="Arial"/>
          <w:sz w:val="22"/>
          <w:szCs w:val="22"/>
        </w:rPr>
        <w:t xml:space="preserve">Each field on the consent form, why it is collected, and its data minimisation position. The allergy and asthma fields are clinical safety fields; the last-visit and registered-dentist fields are programme and public health fields, recorded honestly as such.</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600"/>
        <w:gridCol w:w="3200"/>
        <w:gridCol w:w="3226"/>
      </w:tblGrid>
      <w:tr>
        <w:trPr>
          <w:tblHeader/>
        </w:trPr>
        <w:tc>
          <w:tcPr>
            <w:tcW w:type="dxa" w:w="26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Data field</w:t>
            </w:r>
          </w:p>
        </w:tc>
        <w:tc>
          <w:tcPr>
            <w:tcW w:type="dxa" w:w="3200"/>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Why it is collected</w:t>
            </w:r>
          </w:p>
        </w:tc>
        <w:tc>
          <w:tcPr>
            <w:tcW w:type="dxa" w:w="3226"/>
            <w:shd w:fill="D9E6FF" w:val="clear"/>
            <w:tcMar>
              <w:top w:type="dxa" w:w="60"/>
              <w:left w:type="dxa" w:w="100"/>
              <w:bottom w:type="dxa" w:w="60"/>
              <w:right w:type="dxa" w:w="100"/>
            </w:tcMar>
          </w:tcPr>
          <w:p>
            <w:pPr>
              <w:spacing w:after="0" w:line="252"/>
            </w:pPr>
            <w:r>
              <w:rPr>
                <w:rFonts w:ascii="Arial" w:cs="Arial" w:eastAsia="Arial" w:hAnsi="Arial"/>
                <w:b/>
                <w:bCs/>
                <w:sz w:val="18"/>
                <w:szCs w:val="18"/>
              </w:rPr>
              <w:t xml:space="preserve">Minimisation position</w:t>
            </w:r>
          </w:p>
        </w:tc>
      </w:tr>
      <w:tr>
        <w:tc>
          <w:tcPr>
            <w:tcW w:type="dxa" w:w="2600"/>
            <w:tcMar>
              <w:top w:type="dxa" w:w="60"/>
              <w:left w:type="dxa" w:w="100"/>
              <w:bottom w:type="dxa" w:w="60"/>
              <w:right w:type="dxa" w:w="100"/>
            </w:tcMar>
          </w:tcPr>
          <w:p>
            <w:pPr>
              <w:spacing w:after="0" w:line="252"/>
            </w:pPr>
            <w:r>
              <w:rPr>
                <w:rFonts w:ascii="Arial" w:cs="Arial" w:eastAsia="Arial" w:hAnsi="Arial"/>
                <w:sz w:val="18"/>
                <w:szCs w:val="18"/>
              </w:rPr>
              <w:t xml:space="preserve">Child's name</w:t>
            </w:r>
          </w:p>
        </w:tc>
        <w:tc>
          <w:tcPr>
            <w:tcW w:type="dxa" w:w="3200"/>
            <w:tcMar>
              <w:top w:type="dxa" w:w="60"/>
              <w:left w:type="dxa" w:w="100"/>
              <w:bottom w:type="dxa" w:w="60"/>
              <w:right w:type="dxa" w:w="100"/>
            </w:tcMar>
          </w:tcPr>
          <w:p>
            <w:pPr>
              <w:spacing w:after="0" w:line="252"/>
            </w:pPr>
            <w:r>
              <w:rPr>
                <w:rFonts w:ascii="Arial" w:cs="Arial" w:eastAsia="Arial" w:hAnsi="Arial"/>
                <w:sz w:val="18"/>
                <w:szCs w:val="18"/>
              </w:rPr>
              <w:t xml:space="preserve">Identifies the child receiving treatment; matches consent to child on the day.</w:t>
            </w:r>
          </w:p>
        </w:tc>
        <w:tc>
          <w:tcPr>
            <w:tcW w:type="dxa" w:w="3226"/>
            <w:tcMar>
              <w:top w:type="dxa" w:w="60"/>
              <w:left w:type="dxa" w:w="100"/>
              <w:bottom w:type="dxa" w:w="60"/>
              <w:right w:type="dxa" w:w="100"/>
            </w:tcMar>
          </w:tcPr>
          <w:p>
            <w:pPr>
              <w:spacing w:after="0" w:line="252"/>
            </w:pPr>
            <w:r>
              <w:rPr>
                <w:rFonts w:ascii="Arial" w:cs="Arial" w:eastAsia="Arial" w:hAnsi="Arial"/>
                <w:sz w:val="18"/>
                <w:szCs w:val="18"/>
              </w:rPr>
              <w:t xml:space="preserve">Necessary. Treatment cannot be safely given to the right child without it.</w:t>
            </w:r>
          </w:p>
        </w:tc>
      </w:tr>
      <w:tr>
        <w:tc>
          <w:tcPr>
            <w:tcW w:type="dxa" w:w="2600"/>
            <w:tcMar>
              <w:top w:type="dxa" w:w="60"/>
              <w:left w:type="dxa" w:w="100"/>
              <w:bottom w:type="dxa" w:w="60"/>
              <w:right w:type="dxa" w:w="100"/>
            </w:tcMar>
          </w:tcPr>
          <w:p>
            <w:pPr>
              <w:spacing w:after="0" w:line="252"/>
            </w:pPr>
            <w:r>
              <w:rPr>
                <w:rFonts w:ascii="Arial" w:cs="Arial" w:eastAsia="Arial" w:hAnsi="Arial"/>
                <w:sz w:val="18"/>
                <w:szCs w:val="18"/>
              </w:rPr>
              <w:t xml:space="preserve">Last dental visit</w:t>
            </w:r>
          </w:p>
        </w:tc>
        <w:tc>
          <w:tcPr>
            <w:tcW w:type="dxa" w:w="3200"/>
            <w:tcMar>
              <w:top w:type="dxa" w:w="60"/>
              <w:left w:type="dxa" w:w="100"/>
              <w:bottom w:type="dxa" w:w="60"/>
              <w:right w:type="dxa" w:w="100"/>
            </w:tcMar>
          </w:tcPr>
          <w:p>
            <w:pPr>
              <w:spacing w:after="0" w:line="252"/>
            </w:pPr>
            <w:r>
              <w:rPr>
                <w:rFonts w:ascii="Arial" w:cs="Arial" w:eastAsia="Arial" w:hAnsi="Arial"/>
                <w:sz w:val="18"/>
                <w:szCs w:val="18"/>
              </w:rPr>
              <w:t xml:space="preserve">Programme evaluation and signposting: helps identify children who are not reaching a dentist, informing the access picture in Oldham and any signposting to NHS dental services.</w:t>
            </w:r>
          </w:p>
        </w:tc>
        <w:tc>
          <w:tcPr>
            <w:tcW w:type="dxa" w:w="3226"/>
            <w:tcMar>
              <w:top w:type="dxa" w:w="60"/>
              <w:left w:type="dxa" w:w="100"/>
              <w:bottom w:type="dxa" w:w="60"/>
              <w:right w:type="dxa" w:w="100"/>
            </w:tcMar>
          </w:tcPr>
          <w:p>
            <w:pPr>
              <w:spacing w:after="0" w:line="252"/>
            </w:pPr>
            <w:r>
              <w:rPr>
                <w:rFonts w:ascii="Arial" w:cs="Arial" w:eastAsia="Arial" w:hAnsi="Arial"/>
                <w:sz w:val="18"/>
                <w:szCs w:val="18"/>
              </w:rPr>
              <w:t xml:space="preserve">Retained. A legitimate programme and public health purpose under the local authority commission, stated plainly rather than presented as a clinical safety field.</w:t>
            </w:r>
          </w:p>
        </w:tc>
      </w:tr>
      <w:tr>
        <w:tc>
          <w:tcPr>
            <w:tcW w:type="dxa" w:w="2600"/>
            <w:tcMar>
              <w:top w:type="dxa" w:w="60"/>
              <w:left w:type="dxa" w:w="100"/>
              <w:bottom w:type="dxa" w:w="60"/>
              <w:right w:type="dxa" w:w="100"/>
            </w:tcMar>
          </w:tcPr>
          <w:p>
            <w:pPr>
              <w:spacing w:after="0" w:line="252"/>
            </w:pPr>
            <w:r>
              <w:rPr>
                <w:rFonts w:ascii="Arial" w:cs="Arial" w:eastAsia="Arial" w:hAnsi="Arial"/>
                <w:sz w:val="18"/>
                <w:szCs w:val="18"/>
              </w:rPr>
              <w:t xml:space="preserve">Allergic reaction to fluoride varnish</w:t>
            </w:r>
          </w:p>
        </w:tc>
        <w:tc>
          <w:tcPr>
            <w:tcW w:type="dxa" w:w="3200"/>
            <w:tcMar>
              <w:top w:type="dxa" w:w="60"/>
              <w:left w:type="dxa" w:w="100"/>
              <w:bottom w:type="dxa" w:w="60"/>
              <w:right w:type="dxa" w:w="100"/>
            </w:tcMar>
          </w:tcPr>
          <w:p>
            <w:pPr>
              <w:spacing w:after="0" w:line="252"/>
            </w:pPr>
            <w:r>
              <w:rPr>
                <w:rFonts w:ascii="Arial" w:cs="Arial" w:eastAsia="Arial" w:hAnsi="Arial"/>
                <w:sz w:val="18"/>
                <w:szCs w:val="18"/>
              </w:rPr>
              <w:t xml:space="preserve">Clinical safety: identifies children for whom varnish is contraindicated by allergy (including colophony sensitivity).</w:t>
            </w:r>
          </w:p>
        </w:tc>
        <w:tc>
          <w:tcPr>
            <w:tcW w:type="dxa" w:w="3226"/>
            <w:tcMar>
              <w:top w:type="dxa" w:w="60"/>
              <w:left w:type="dxa" w:w="100"/>
              <w:bottom w:type="dxa" w:w="60"/>
              <w:right w:type="dxa" w:w="100"/>
            </w:tcMar>
          </w:tcPr>
          <w:p>
            <w:pPr>
              <w:spacing w:after="0" w:line="252"/>
            </w:pPr>
            <w:r>
              <w:rPr>
                <w:rFonts w:ascii="Arial" w:cs="Arial" w:eastAsia="Arial" w:hAnsi="Arial"/>
                <w:sz w:val="18"/>
                <w:szCs w:val="18"/>
              </w:rPr>
              <w:t xml:space="preserve">Necessary. This is the core contraindication screen.</w:t>
            </w:r>
          </w:p>
        </w:tc>
      </w:tr>
      <w:tr>
        <w:tc>
          <w:tcPr>
            <w:tcW w:type="dxa" w:w="2600"/>
            <w:tcMar>
              <w:top w:type="dxa" w:w="60"/>
              <w:left w:type="dxa" w:w="100"/>
              <w:bottom w:type="dxa" w:w="60"/>
              <w:right w:type="dxa" w:w="100"/>
            </w:tcMar>
          </w:tcPr>
          <w:p>
            <w:pPr>
              <w:spacing w:after="0" w:line="252"/>
            </w:pPr>
            <w:r>
              <w:rPr>
                <w:rFonts w:ascii="Arial" w:cs="Arial" w:eastAsia="Arial" w:hAnsi="Arial"/>
                <w:sz w:val="18"/>
                <w:szCs w:val="18"/>
              </w:rPr>
              <w:t xml:space="preserve">Asthma or asthmatic attacks</w:t>
            </w:r>
          </w:p>
        </w:tc>
        <w:tc>
          <w:tcPr>
            <w:tcW w:type="dxa" w:w="3200"/>
            <w:tcMar>
              <w:top w:type="dxa" w:w="60"/>
              <w:left w:type="dxa" w:w="100"/>
              <w:bottom w:type="dxa" w:w="60"/>
              <w:right w:type="dxa" w:w="100"/>
            </w:tcMar>
          </w:tcPr>
          <w:p>
            <w:pPr>
              <w:spacing w:after="0" w:line="252"/>
            </w:pPr>
            <w:r>
              <w:rPr>
                <w:rFonts w:ascii="Arial" w:cs="Arial" w:eastAsia="Arial" w:hAnsi="Arial"/>
                <w:sz w:val="18"/>
                <w:szCs w:val="18"/>
              </w:rPr>
              <w:t xml:space="preserve">Clinical safety: severe or poorly controlled asthma is a precaution for colophony-containing varnish; informs the clinical decision on the day.</w:t>
            </w:r>
          </w:p>
        </w:tc>
        <w:tc>
          <w:tcPr>
            <w:tcW w:type="dxa" w:w="3226"/>
            <w:tcMar>
              <w:top w:type="dxa" w:w="60"/>
              <w:left w:type="dxa" w:w="100"/>
              <w:bottom w:type="dxa" w:w="60"/>
              <w:right w:type="dxa" w:w="100"/>
            </w:tcMar>
          </w:tcPr>
          <w:p>
            <w:pPr>
              <w:spacing w:after="0" w:line="252"/>
            </w:pPr>
            <w:r>
              <w:rPr>
                <w:rFonts w:ascii="Arial" w:cs="Arial" w:eastAsia="Arial" w:hAnsi="Arial"/>
                <w:sz w:val="18"/>
                <w:szCs w:val="18"/>
              </w:rPr>
              <w:t xml:space="preserve">Necessary. Part of the contraindication and precaution screen.</w:t>
            </w:r>
          </w:p>
        </w:tc>
      </w:tr>
      <w:tr>
        <w:tc>
          <w:tcPr>
            <w:tcW w:type="dxa" w:w="2600"/>
            <w:tcMar>
              <w:top w:type="dxa" w:w="60"/>
              <w:left w:type="dxa" w:w="100"/>
              <w:bottom w:type="dxa" w:w="60"/>
              <w:right w:type="dxa" w:w="100"/>
            </w:tcMar>
          </w:tcPr>
          <w:p>
            <w:pPr>
              <w:spacing w:after="0" w:line="252"/>
            </w:pPr>
            <w:r>
              <w:rPr>
                <w:rFonts w:ascii="Arial" w:cs="Arial" w:eastAsia="Arial" w:hAnsi="Arial"/>
                <w:sz w:val="18"/>
                <w:szCs w:val="18"/>
              </w:rPr>
              <w:t xml:space="preserve">Registered dentist's name (if any)</w:t>
            </w:r>
          </w:p>
        </w:tc>
        <w:tc>
          <w:tcPr>
            <w:tcW w:type="dxa" w:w="3200"/>
            <w:tcMar>
              <w:top w:type="dxa" w:w="60"/>
              <w:left w:type="dxa" w:w="100"/>
              <w:bottom w:type="dxa" w:w="60"/>
              <w:right w:type="dxa" w:w="100"/>
            </w:tcMar>
          </w:tcPr>
          <w:p>
            <w:pPr>
              <w:spacing w:after="0" w:line="252"/>
            </w:pPr>
            <w:r>
              <w:rPr>
                <w:rFonts w:ascii="Arial" w:cs="Arial" w:eastAsia="Arial" w:hAnsi="Arial"/>
                <w:sz w:val="18"/>
                <w:szCs w:val="18"/>
              </w:rPr>
              <w:t xml:space="preserve">Programme evaluation and signposting: shows whether the child has a dental home, informing the access picture and any referral or signposting.</w:t>
            </w:r>
          </w:p>
        </w:tc>
        <w:tc>
          <w:tcPr>
            <w:tcW w:type="dxa" w:w="3226"/>
            <w:tcMar>
              <w:top w:type="dxa" w:w="60"/>
              <w:left w:type="dxa" w:w="100"/>
              <w:bottom w:type="dxa" w:w="60"/>
              <w:right w:type="dxa" w:w="100"/>
            </w:tcMar>
          </w:tcPr>
          <w:p>
            <w:pPr>
              <w:spacing w:after="0" w:line="252"/>
            </w:pPr>
            <w:r>
              <w:rPr>
                <w:rFonts w:ascii="Arial" w:cs="Arial" w:eastAsia="Arial" w:hAnsi="Arial"/>
                <w:sz w:val="18"/>
                <w:szCs w:val="18"/>
              </w:rPr>
              <w:t xml:space="preserve">Retained. Same legitimate programme purpose as last dental visit; not a clinical safety field, and recorded as such.</w:t>
            </w:r>
          </w:p>
        </w:tc>
      </w:tr>
    </w:tbl>
    <w:p>
      <w:pPr>
        <w:pageBreakBefore/>
      </w:pPr>
    </w:p>
    <w:p>
      <w:pPr>
        <w:spacing w:after="100" w:before="220" w:line="276"/>
      </w:pPr>
      <w:r>
        <w:rPr>
          <w:rFonts w:ascii="Arial" w:cs="Arial" w:eastAsia="Arial" w:hAnsi="Arial"/>
          <w:b/>
          <w:bCs/>
          <w:color w:val="0061FF"/>
          <w:sz w:val="24"/>
          <w:szCs w:val="24"/>
        </w:rPr>
        <w:t xml:space="preserve">Appendix B. Consent-Form Lifecycle and Adverse Reaction Flow</w:t>
      </w:r>
    </w:p>
    <w:p>
      <w:pPr>
        <w:spacing w:after="80" w:before="180" w:line="276"/>
      </w:pPr>
      <w:r>
        <w:rPr>
          <w:rFonts w:ascii="Arial" w:cs="Arial" w:eastAsia="Arial" w:hAnsi="Arial"/>
          <w:b/>
          <w:bCs/>
          <w:color w:val="0061FF"/>
          <w:sz w:val="22"/>
          <w:szCs w:val="22"/>
        </w:rPr>
        <w:t xml:space="preserve">Consent-form lifecycle</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800"/>
        <w:gridCol w:w="3000"/>
        <w:gridCol w:w="5226"/>
      </w:tblGrid>
      <w:tr>
        <w:tc>
          <w:tcPr>
            <w:tcW w:type="dxa" w:w="8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1.</w:t>
            </w:r>
          </w:p>
        </w:tc>
        <w:tc>
          <w:tcPr>
            <w:tcW w:type="dxa" w:w="3000"/>
            <w:tcMar>
              <w:top w:type="dxa" w:w="60"/>
              <w:left w:type="dxa" w:w="100"/>
              <w:bottom w:type="dxa" w:w="60"/>
              <w:right w:type="dxa" w:w="100"/>
            </w:tcMar>
          </w:tcPr>
          <w:p>
            <w:pPr>
              <w:spacing w:after="0" w:line="252"/>
            </w:pPr>
            <w:r>
              <w:rPr>
                <w:rFonts w:ascii="Arial" w:cs="Arial" w:eastAsia="Arial" w:hAnsi="Arial"/>
                <w:sz w:val="18"/>
                <w:szCs w:val="18"/>
              </w:rPr>
              <w:t xml:space="preserve">Parent completes and signs</w:t>
            </w:r>
          </w:p>
        </w:tc>
        <w:tc>
          <w:tcPr>
            <w:tcW w:type="dxa" w:w="5226"/>
            <w:tcMar>
              <w:top w:type="dxa" w:w="60"/>
              <w:left w:type="dxa" w:w="100"/>
              <w:bottom w:type="dxa" w:w="60"/>
              <w:right w:type="dxa" w:w="100"/>
            </w:tcMar>
          </w:tcPr>
          <w:p>
            <w:pPr>
              <w:spacing w:after="0" w:line="252"/>
            </w:pPr>
            <w:r>
              <w:rPr>
                <w:rFonts w:ascii="Arial" w:cs="Arial" w:eastAsia="Arial" w:hAnsi="Arial"/>
                <w:sz w:val="18"/>
                <w:szCs w:val="18"/>
              </w:rPr>
              <w:t xml:space="preserve">The setting distributes the consent form to parents and carers. Parents complete it, including the safety screening questions, and sign. Consent is given before the visit.</w:t>
            </w:r>
          </w:p>
        </w:tc>
      </w:tr>
      <w:tr>
        <w:tc>
          <w:tcPr>
            <w:tcW w:type="dxa" w:w="8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2.</w:t>
            </w:r>
          </w:p>
        </w:tc>
        <w:tc>
          <w:tcPr>
            <w:tcW w:type="dxa" w:w="3000"/>
            <w:tcMar>
              <w:top w:type="dxa" w:w="60"/>
              <w:left w:type="dxa" w:w="100"/>
              <w:bottom w:type="dxa" w:w="60"/>
              <w:right w:type="dxa" w:w="100"/>
            </w:tcMar>
          </w:tcPr>
          <w:p>
            <w:pPr>
              <w:spacing w:after="0" w:line="252"/>
            </w:pPr>
            <w:r>
              <w:rPr>
                <w:rFonts w:ascii="Arial" w:cs="Arial" w:eastAsia="Arial" w:hAnsi="Arial"/>
                <w:sz w:val="18"/>
                <w:szCs w:val="18"/>
              </w:rPr>
              <w:t xml:space="preserve">Setting holds until the visit</w:t>
            </w:r>
          </w:p>
        </w:tc>
        <w:tc>
          <w:tcPr>
            <w:tcW w:type="dxa" w:w="5226"/>
            <w:tcMar>
              <w:top w:type="dxa" w:w="60"/>
              <w:left w:type="dxa" w:w="100"/>
              <w:bottom w:type="dxa" w:w="60"/>
              <w:right w:type="dxa" w:w="100"/>
            </w:tcMar>
          </w:tcPr>
          <w:p>
            <w:pPr>
              <w:spacing w:after="0" w:line="252"/>
            </w:pPr>
            <w:r>
              <w:rPr>
                <w:rFonts w:ascii="Arial" w:cs="Arial" w:eastAsia="Arial" w:hAnsi="Arial"/>
                <w:sz w:val="18"/>
                <w:szCs w:val="18"/>
              </w:rPr>
              <w:t xml:space="preserve">The setting collects and holds the signed forms securely until the programme visit, as a controller for that period under its own arrangements.</w:t>
            </w:r>
          </w:p>
        </w:tc>
      </w:tr>
      <w:tr>
        <w:tc>
          <w:tcPr>
            <w:tcW w:type="dxa" w:w="8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3.</w:t>
            </w:r>
          </w:p>
        </w:tc>
        <w:tc>
          <w:tcPr>
            <w:tcW w:type="dxa" w:w="3000"/>
            <w:tcMar>
              <w:top w:type="dxa" w:w="60"/>
              <w:left w:type="dxa" w:w="100"/>
              <w:bottom w:type="dxa" w:w="60"/>
              <w:right w:type="dxa" w:w="100"/>
            </w:tcMar>
          </w:tcPr>
          <w:p>
            <w:pPr>
              <w:spacing w:after="0" w:line="252"/>
            </w:pPr>
            <w:r>
              <w:rPr>
                <w:rFonts w:ascii="Arial" w:cs="Arial" w:eastAsia="Arial" w:hAnsi="Arial"/>
                <w:sz w:val="18"/>
                <w:szCs w:val="18"/>
              </w:rPr>
              <w:t xml:space="preserve">Handover on the day</w:t>
            </w:r>
          </w:p>
        </w:tc>
        <w:tc>
          <w:tcPr>
            <w:tcW w:type="dxa" w:w="5226"/>
            <w:tcMar>
              <w:top w:type="dxa" w:w="60"/>
              <w:left w:type="dxa" w:w="100"/>
              <w:bottom w:type="dxa" w:w="60"/>
              <w:right w:type="dxa" w:w="100"/>
            </w:tcMar>
          </w:tcPr>
          <w:p>
            <w:pPr>
              <w:spacing w:after="0" w:line="252"/>
            </w:pPr>
            <w:r>
              <w:rPr>
                <w:rFonts w:ascii="Arial" w:cs="Arial" w:eastAsia="Arial" w:hAnsi="Arial"/>
                <w:sz w:val="18"/>
                <w:szCs w:val="18"/>
              </w:rPr>
              <w:t xml:space="preserve">On the visit day, the setting hands the signed forms to the attending clinician. The clinician checks each form before treating the corresponding child.</w:t>
            </w:r>
          </w:p>
        </w:tc>
      </w:tr>
      <w:tr>
        <w:tc>
          <w:tcPr>
            <w:tcW w:type="dxa" w:w="8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4.</w:t>
            </w:r>
          </w:p>
        </w:tc>
        <w:tc>
          <w:tcPr>
            <w:tcW w:type="dxa" w:w="3000"/>
            <w:tcMar>
              <w:top w:type="dxa" w:w="60"/>
              <w:left w:type="dxa" w:w="100"/>
              <w:bottom w:type="dxa" w:w="60"/>
              <w:right w:type="dxa" w:w="100"/>
            </w:tcMar>
          </w:tcPr>
          <w:p>
            <w:pPr>
              <w:spacing w:after="0" w:line="252"/>
            </w:pPr>
            <w:r>
              <w:rPr>
                <w:rFonts w:ascii="Arial" w:cs="Arial" w:eastAsia="Arial" w:hAnsi="Arial"/>
                <w:sz w:val="18"/>
                <w:szCs w:val="18"/>
              </w:rPr>
              <w:t xml:space="preserve">Clinical use and application</w:t>
            </w:r>
          </w:p>
        </w:tc>
        <w:tc>
          <w:tcPr>
            <w:tcW w:type="dxa" w:w="5226"/>
            <w:tcMar>
              <w:top w:type="dxa" w:w="60"/>
              <w:left w:type="dxa" w:w="100"/>
              <w:bottom w:type="dxa" w:w="60"/>
              <w:right w:type="dxa" w:w="100"/>
            </w:tcMar>
          </w:tcPr>
          <w:p>
            <w:pPr>
              <w:spacing w:after="0" w:line="252"/>
            </w:pPr>
            <w:r>
              <w:rPr>
                <w:rFonts w:ascii="Arial" w:cs="Arial" w:eastAsia="Arial" w:hAnsi="Arial"/>
                <w:sz w:val="18"/>
                <w:szCs w:val="18"/>
              </w:rPr>
              <w:t xml:space="preserve">The clinician reads the screening answers, applies the contraindication and precaution check (section 5.4), and applies varnish only where consent is valid and no contraindication is present.</w:t>
            </w:r>
          </w:p>
        </w:tc>
      </w:tr>
      <w:tr>
        <w:tc>
          <w:tcPr>
            <w:tcW w:type="dxa" w:w="8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5.</w:t>
            </w:r>
          </w:p>
        </w:tc>
        <w:tc>
          <w:tcPr>
            <w:tcW w:type="dxa" w:w="3000"/>
            <w:tcMar>
              <w:top w:type="dxa" w:w="60"/>
              <w:left w:type="dxa" w:w="100"/>
              <w:bottom w:type="dxa" w:w="60"/>
              <w:right w:type="dxa" w:w="100"/>
            </w:tcMar>
          </w:tcPr>
          <w:p>
            <w:pPr>
              <w:spacing w:after="0" w:line="252"/>
            </w:pPr>
            <w:r>
              <w:rPr>
                <w:rFonts w:ascii="Arial" w:cs="Arial" w:eastAsia="Arial" w:hAnsi="Arial"/>
                <w:sz w:val="18"/>
                <w:szCs w:val="18"/>
              </w:rPr>
              <w:t xml:space="preserve">Forms taken into MDBuddy's control</w:t>
            </w:r>
          </w:p>
        </w:tc>
        <w:tc>
          <w:tcPr>
            <w:tcW w:type="dxa" w:w="5226"/>
            <w:tcMar>
              <w:top w:type="dxa" w:w="60"/>
              <w:left w:type="dxa" w:w="100"/>
              <w:bottom w:type="dxa" w:w="60"/>
              <w:right w:type="dxa" w:w="100"/>
            </w:tcMar>
          </w:tcPr>
          <w:p>
            <w:pPr>
              <w:spacing w:after="0" w:line="252"/>
            </w:pPr>
            <w:r>
              <w:rPr>
                <w:rFonts w:ascii="Arial" w:cs="Arial" w:eastAsia="Arial" w:hAnsi="Arial"/>
                <w:sz w:val="18"/>
                <w:szCs w:val="18"/>
              </w:rPr>
              <w:t xml:space="preserve">After the session, the attending clinician takes the signed forms into MDBuddy's control. From this point MDBuddy holds them securely under its own retention (DA-08).</w:t>
            </w:r>
          </w:p>
        </w:tc>
      </w:tr>
      <w:tr>
        <w:tc>
          <w:tcPr>
            <w:tcW w:type="dxa" w:w="8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6.</w:t>
            </w:r>
          </w:p>
        </w:tc>
        <w:tc>
          <w:tcPr>
            <w:tcW w:type="dxa" w:w="3000"/>
            <w:tcMar>
              <w:top w:type="dxa" w:w="60"/>
              <w:left w:type="dxa" w:w="100"/>
              <w:bottom w:type="dxa" w:w="60"/>
              <w:right w:type="dxa" w:w="100"/>
            </w:tcMar>
          </w:tcPr>
          <w:p>
            <w:pPr>
              <w:spacing w:after="0" w:line="252"/>
            </w:pPr>
            <w:r>
              <w:rPr>
                <w:rFonts w:ascii="Arial" w:cs="Arial" w:eastAsia="Arial" w:hAnsi="Arial"/>
                <w:sz w:val="18"/>
                <w:szCs w:val="18"/>
              </w:rPr>
              <w:t xml:space="preserve">Secure storage and transfer to record</w:t>
            </w:r>
          </w:p>
        </w:tc>
        <w:tc>
          <w:tcPr>
            <w:tcW w:type="dxa" w:w="5226"/>
            <w:tcMar>
              <w:top w:type="dxa" w:w="60"/>
              <w:left w:type="dxa" w:w="100"/>
              <w:bottom w:type="dxa" w:w="60"/>
              <w:right w:type="dxa" w:w="100"/>
            </w:tcMar>
          </w:tcPr>
          <w:p>
            <w:pPr>
              <w:spacing w:after="0" w:line="252"/>
            </w:pPr>
            <w:r>
              <w:rPr>
                <w:rFonts w:ascii="Arial" w:cs="Arial" w:eastAsia="Arial" w:hAnsi="Arial"/>
                <w:sz w:val="18"/>
                <w:szCs w:val="18"/>
              </w:rPr>
              <w:t xml:space="preserve">Forms are stored securely (DI-07 physical security; classified Highly Confidential under DA-10). The clinical and programme data is transferred to MDBuddy's secure record.</w:t>
            </w:r>
          </w:p>
        </w:tc>
      </w:tr>
      <w:tr>
        <w:tc>
          <w:tcPr>
            <w:tcW w:type="dxa" w:w="800"/>
            <w:shd w:fill="F2F2F2" w:val="clear"/>
            <w:tcMar>
              <w:top w:type="dxa" w:w="60"/>
              <w:left w:type="dxa" w:w="100"/>
              <w:bottom w:type="dxa" w:w="60"/>
              <w:right w:type="dxa" w:w="100"/>
            </w:tcMar>
          </w:tcPr>
          <w:p>
            <w:pPr>
              <w:spacing w:after="0" w:line="252"/>
            </w:pPr>
            <w:r>
              <w:rPr>
                <w:rFonts w:ascii="Arial" w:cs="Arial" w:eastAsia="Arial" w:hAnsi="Arial"/>
                <w:b/>
                <w:bCs/>
                <w:sz w:val="18"/>
                <w:szCs w:val="18"/>
              </w:rPr>
              <w:t xml:space="preserve">7.</w:t>
            </w:r>
          </w:p>
        </w:tc>
        <w:tc>
          <w:tcPr>
            <w:tcW w:type="dxa" w:w="3000"/>
            <w:tcMar>
              <w:top w:type="dxa" w:w="60"/>
              <w:left w:type="dxa" w:w="100"/>
              <w:bottom w:type="dxa" w:w="60"/>
              <w:right w:type="dxa" w:w="100"/>
            </w:tcMar>
          </w:tcPr>
          <w:p>
            <w:pPr>
              <w:spacing w:after="0" w:line="252"/>
            </w:pPr>
            <w:r>
              <w:rPr>
                <w:rFonts w:ascii="Arial" w:cs="Arial" w:eastAsia="Arial" w:hAnsi="Arial"/>
                <w:sz w:val="18"/>
                <w:szCs w:val="18"/>
              </w:rPr>
              <w:t xml:space="preserve">Destruction of the hard copy</w:t>
            </w:r>
          </w:p>
        </w:tc>
        <w:tc>
          <w:tcPr>
            <w:tcW w:type="dxa" w:w="5226"/>
            <w:tcMar>
              <w:top w:type="dxa" w:w="60"/>
              <w:left w:type="dxa" w:w="100"/>
              <w:bottom w:type="dxa" w:w="60"/>
              <w:right w:type="dxa" w:w="100"/>
            </w:tcMar>
          </w:tcPr>
          <w:p>
            <w:pPr>
              <w:spacing w:after="0" w:line="252"/>
            </w:pPr>
            <w:r>
              <w:rPr>
                <w:rFonts w:ascii="Arial" w:cs="Arial" w:eastAsia="Arial" w:hAnsi="Arial"/>
                <w:sz w:val="18"/>
                <w:szCs w:val="18"/>
              </w:rPr>
              <w:t xml:space="preserve">Once the data is securely recorded, the hard-copy form is destroyed by cross-cut shredding, logged, within the period set in DA-08. The original paper is not retained indefinitely.</w:t>
            </w:r>
          </w:p>
        </w:tc>
      </w:tr>
    </w:tbl>
    <w:p>
      <w:pPr>
        <w:spacing w:after="120"/>
      </w:pPr>
    </w:p>
    <w:p>
      <w:pPr>
        <w:spacing w:after="80" w:before="180" w:line="276"/>
      </w:pPr>
      <w:r>
        <w:rPr>
          <w:rFonts w:ascii="Arial" w:cs="Arial" w:eastAsia="Arial" w:hAnsi="Arial"/>
          <w:b/>
          <w:bCs/>
          <w:color w:val="0061FF"/>
          <w:sz w:val="22"/>
          <w:szCs w:val="22"/>
        </w:rPr>
        <w:t xml:space="preserve">Adverse reaction flow</w:t>
      </w:r>
    </w:p>
    <w:p>
      <w:pPr>
        <w:spacing w:after="120" w:line="276"/>
      </w:pPr>
      <w:r>
        <w:rPr>
          <w:rFonts w:ascii="Arial" w:cs="Arial" w:eastAsia="Arial" w:hAnsi="Arial"/>
          <w:sz w:val="22"/>
          <w:szCs w:val="22"/>
        </w:rPr>
        <w:t xml:space="preserve">Reaction observed: stop, assess. Minor or expected effect: reassure, monitor, advise. Allergic or serious reaction: manage clinically; call emergency services for any serious reaction; engage the setting's emergency procedures; inform parents. Record and report as a patient safety incident under CL-03 in all cases of adverse reaction.</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20"/>
    </w:pPr>
    <w:r>
      <w:rPr>
        <w:rFonts w:ascii="Arial" w:cs="Arial" w:eastAsia="Arial" w:hAnsi="Arial"/>
        <w:color w:val="595959"/>
        <w:sz w:val="16"/>
        <w:szCs w:val="16"/>
      </w:rPr>
      <w:t xml:space="preserve">Fluoride Varnish Programme Policy | CL-08 | v2.0 | Issued 1 May 2026 | Page </w:t>
    </w:r>
    <w:r>
      <w:rPr>
        <w:rFonts w:ascii="Arial" w:cs="Arial" w:eastAsia="Arial" w:hAnsi="Arial"/>
        <w:color w:val="595959"/>
        <w:sz w:val="16"/>
        <w:szCs w:val="16"/>
      </w:rPr>
      <w:fldChar w:fldCharType="begin"/>
      <w:instrText xml:space="preserve">PAGE</w:instrText>
      <w:fldChar w:fldCharType="separate"/>
      <w:fldChar w:fldCharType="end"/>
    </w:r>
    <w:r>
      <w:rPr>
        <w:rFonts w:ascii="Arial" w:cs="Arial" w:eastAsia="Arial" w:hAnsi="Arial"/>
        <w:color w:val="595959"/>
        <w:sz w:val="16"/>
        <w:szCs w:val="16"/>
      </w:rPr>
      <w:t xml:space="preserve"> / </w:t>
    </w:r>
    <w:r>
      <w:rPr>
        <w:rFonts w:ascii="Arial" w:cs="Arial" w:eastAsia="Arial" w:hAnsi="Arial"/>
        <w:color w:val="595959"/>
        <w:sz w:val="16"/>
        <w:szCs w:val="16"/>
      </w:rPr>
      <w:fldChar w:fldCharType="begin"/>
      <w:instrText xml:space="preserve">NUMPAGES</w:instrText>
      <w:fldChar w:fldCharType="separate"/>
      <w:fldChar w:fldCharType="end"/>
    </w:r>
  </w:p>
  <w:p>
    <w:r>
      <w:rPr>
        <w:rFonts w:ascii="Arial" w:cs="Arial" w:eastAsia="Arial" w:hAnsi="Arial"/>
        <w:i/>
        <w:iCs/>
        <w:color w:val="595959"/>
        <w:sz w:val="16"/>
        <w:szCs w:val="16"/>
      </w:rPr>
      <w:t xml:space="preserve">Uncontrolled if printed. Confirm currency in the MDBuddy Policy Register.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2026-06-18T23:19:25.369Z</dcterms:created>
  <dcterms:modified xsi:type="dcterms:W3CDTF">2026-06-18T23:19:25.383Z</dcterms:modified>
</cp:coreProperties>
</file>

<file path=docProps/custom.xml><?xml version="1.0" encoding="utf-8"?>
<Properties xmlns="http://schemas.openxmlformats.org/officeDocument/2006/custom-properties" xmlns:vt="http://schemas.openxmlformats.org/officeDocument/2006/docPropsVTypes"/>
</file>